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FAE0" w14:textId="7D1BBF10" w:rsidR="0087558F" w:rsidRPr="00C87060" w:rsidRDefault="00F91292" w:rsidP="00C87060">
      <w:pPr>
        <w:spacing w:line="420" w:lineRule="exact"/>
        <w:rPr>
          <w:rFonts w:ascii="Times New Roman" w:eastAsia="標楷體" w:hAnsi="Times New Roman" w:cs="Times New Roman"/>
          <w:color w:val="000000"/>
          <w:spacing w:val="20"/>
          <w:sz w:val="36"/>
          <w:szCs w:val="36"/>
        </w:rPr>
      </w:pPr>
      <w:r w:rsidRPr="00342E76">
        <w:rPr>
          <w:rFonts w:ascii="標楷體" w:eastAsia="標楷體" w:hAnsi="標楷體" w:cs="Times New Roman"/>
          <w:noProof/>
          <w:color w:val="000000" w:themeColor="text1"/>
          <w:sz w:val="36"/>
          <w:szCs w:val="36"/>
          <w:lang w:eastAsia="zh-HK"/>
        </w:rPr>
        <mc:AlternateContent>
          <mc:Choice Requires="wps">
            <w:drawing>
              <wp:anchor distT="45720" distB="45720" distL="114300" distR="114300" simplePos="0" relativeHeight="251659264" behindDoc="1" locked="0" layoutInCell="1" allowOverlap="1" wp14:anchorId="40D5D64E" wp14:editId="6FA574D2">
                <wp:simplePos x="0" y="0"/>
                <wp:positionH relativeFrom="column">
                  <wp:posOffset>0</wp:posOffset>
                </wp:positionH>
                <wp:positionV relativeFrom="paragraph">
                  <wp:posOffset>-344805</wp:posOffset>
                </wp:positionV>
                <wp:extent cx="933450" cy="314325"/>
                <wp:effectExtent l="0" t="0" r="19050"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14:paraId="6F01BDCF" w14:textId="77111BEF" w:rsidR="00F91292" w:rsidRPr="00342E76" w:rsidRDefault="00F91292" w:rsidP="00F91292">
                            <w:pPr>
                              <w:spacing w:line="340" w:lineRule="exact"/>
                              <w:jc w:val="center"/>
                              <w:rPr>
                                <w:rFonts w:ascii="Times New Roman" w:eastAsia="標楷體" w:hAnsi="Times New Roman" w:cs="Times New Roman"/>
                                <w:sz w:val="28"/>
                                <w:szCs w:val="28"/>
                              </w:rPr>
                            </w:pPr>
                            <w:r w:rsidRPr="00342E76">
                              <w:rPr>
                                <w:rFonts w:ascii="Times New Roman" w:eastAsia="標楷體" w:hAnsi="Times New Roman" w:cs="Times New Roman"/>
                                <w:sz w:val="28"/>
                                <w:szCs w:val="28"/>
                              </w:rPr>
                              <w:t>附件</w:t>
                            </w:r>
                            <w:r w:rsidR="00966515">
                              <w:rPr>
                                <w:rFonts w:ascii="Times New Roman" w:eastAsia="標楷體" w:hAnsi="Times New Roman" w:cs="Times New Roman"/>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5D64E" id="_x0000_t202" coordsize="21600,21600" o:spt="202" path="m,l,21600r21600,l21600,xe">
                <v:stroke joinstyle="miter"/>
                <v:path gradientshapeok="t" o:connecttype="rect"/>
              </v:shapetype>
              <v:shape id="文字方塊 2" o:spid="_x0000_s1026" type="#_x0000_t202" style="position:absolute;margin-left:0;margin-top:-27.15pt;width:73.5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">
                <v:textbox>
                  <w:txbxContent>
                    <w:p w14:paraId="6F01BDCF" w14:textId="77111BEF" w:rsidR="00F91292" w:rsidRPr="00342E76" w:rsidRDefault="00F91292" w:rsidP="00F91292">
                      <w:pPr>
                        <w:spacing w:line="340" w:lineRule="exact"/>
                        <w:jc w:val="center"/>
                        <w:rPr>
                          <w:rFonts w:ascii="Times New Roman" w:eastAsia="標楷體" w:hAnsi="Times New Roman" w:cs="Times New Roman"/>
                          <w:sz w:val="28"/>
                          <w:szCs w:val="28"/>
                        </w:rPr>
                      </w:pPr>
                      <w:r w:rsidRPr="00342E76">
                        <w:rPr>
                          <w:rFonts w:ascii="Times New Roman" w:eastAsia="標楷體" w:hAnsi="Times New Roman" w:cs="Times New Roman"/>
                          <w:sz w:val="28"/>
                          <w:szCs w:val="28"/>
                        </w:rPr>
                        <w:t>附件</w:t>
                      </w:r>
                      <w:r w:rsidR="00966515">
                        <w:rPr>
                          <w:rFonts w:ascii="Times New Roman" w:eastAsia="標楷體" w:hAnsi="Times New Roman" w:cs="Times New Roman"/>
                          <w:sz w:val="28"/>
                          <w:szCs w:val="28"/>
                        </w:rPr>
                        <w:t>2</w:t>
                      </w:r>
                    </w:p>
                  </w:txbxContent>
                </v:textbox>
              </v:shape>
            </w:pict>
          </mc:Fallback>
        </mc:AlternateContent>
      </w:r>
      <w:r w:rsidR="0087558F" w:rsidRPr="00C87060">
        <w:rPr>
          <w:rFonts w:ascii="Times New Roman" w:eastAsia="標楷體" w:hAnsi="Times New Roman" w:cs="Times New Roman"/>
          <w:color w:val="000000"/>
          <w:spacing w:val="20"/>
          <w:sz w:val="36"/>
          <w:szCs w:val="36"/>
        </w:rPr>
        <w:t>中華民國證券商業同業公會</w:t>
      </w:r>
      <w:r w:rsidR="0087558F" w:rsidRPr="00C87060">
        <w:rPr>
          <w:rFonts w:ascii="Times New Roman" w:eastAsia="標楷體" w:hAnsi="Times New Roman" w:cs="Times New Roman" w:hint="eastAsia"/>
          <w:color w:val="000000"/>
          <w:spacing w:val="20"/>
          <w:sz w:val="36"/>
          <w:szCs w:val="36"/>
        </w:rPr>
        <w:t>「</w:t>
      </w:r>
      <w:bookmarkStart w:id="0" w:name="_Hlk134172506"/>
      <w:r w:rsidR="00D076BA" w:rsidRPr="00C87060">
        <w:rPr>
          <w:rFonts w:ascii="Times New Roman" w:eastAsia="標楷體" w:hAnsi="Times New Roman" w:cs="Times New Roman" w:hint="eastAsia"/>
          <w:color w:val="000000"/>
          <w:spacing w:val="20"/>
          <w:sz w:val="36"/>
          <w:szCs w:val="36"/>
        </w:rPr>
        <w:t>證</w:t>
      </w:r>
      <w:r w:rsidR="00260392" w:rsidRPr="00C87060">
        <w:rPr>
          <w:rFonts w:ascii="Times New Roman" w:eastAsia="標楷體" w:hAnsi="Times New Roman" w:cs="Times New Roman" w:hint="eastAsia"/>
          <w:color w:val="000000"/>
          <w:spacing w:val="20"/>
          <w:sz w:val="36"/>
          <w:szCs w:val="36"/>
        </w:rPr>
        <w:t>承銷商會員輔導發行公司募集與發行有價證券自律規則</w:t>
      </w:r>
      <w:r w:rsidR="0087558F" w:rsidRPr="00C87060">
        <w:rPr>
          <w:rFonts w:ascii="Times New Roman" w:eastAsia="標楷體" w:hAnsi="Times New Roman" w:cs="Times New Roman" w:hint="eastAsia"/>
          <w:color w:val="000000"/>
          <w:spacing w:val="20"/>
          <w:sz w:val="36"/>
          <w:szCs w:val="36"/>
        </w:rPr>
        <w:t>」</w:t>
      </w:r>
      <w:r w:rsidR="00260392" w:rsidRPr="00C87060">
        <w:rPr>
          <w:rFonts w:ascii="Times New Roman" w:eastAsia="標楷體" w:hAnsi="Times New Roman" w:cs="Times New Roman" w:hint="eastAsia"/>
          <w:color w:val="000000"/>
          <w:spacing w:val="20"/>
          <w:sz w:val="36"/>
          <w:szCs w:val="36"/>
        </w:rPr>
        <w:t>第五條之二</w:t>
      </w:r>
      <w:r w:rsidR="0087558F" w:rsidRPr="00C87060">
        <w:rPr>
          <w:rFonts w:ascii="Times New Roman" w:eastAsia="標楷體" w:hAnsi="Times New Roman" w:cs="Times New Roman" w:hint="eastAsia"/>
          <w:color w:val="000000"/>
          <w:spacing w:val="20"/>
          <w:sz w:val="36"/>
          <w:szCs w:val="36"/>
        </w:rPr>
        <w:t>修正條文對照表</w:t>
      </w:r>
      <w:bookmarkEnd w:id="0"/>
    </w:p>
    <w:tbl>
      <w:tblPr>
        <w:tblStyle w:val="a3"/>
        <w:tblW w:w="9433" w:type="dxa"/>
        <w:jc w:val="center"/>
        <w:tblLook w:val="04A0" w:firstRow="1" w:lastRow="0" w:firstColumn="1" w:lastColumn="0" w:noHBand="0" w:noVBand="1"/>
      </w:tblPr>
      <w:tblGrid>
        <w:gridCol w:w="3399"/>
        <w:gridCol w:w="3400"/>
        <w:gridCol w:w="2634"/>
      </w:tblGrid>
      <w:tr w:rsidR="0087558F" w:rsidRPr="008F178F" w14:paraId="77767029" w14:textId="77777777" w:rsidTr="00C87060">
        <w:trPr>
          <w:trHeight w:val="176"/>
          <w:jc w:val="center"/>
        </w:trPr>
        <w:tc>
          <w:tcPr>
            <w:tcW w:w="3399" w:type="dxa"/>
            <w:vAlign w:val="center"/>
          </w:tcPr>
          <w:p w14:paraId="5F0E2F5A" w14:textId="77777777" w:rsidR="0087558F" w:rsidRPr="008F178F" w:rsidRDefault="0087558F" w:rsidP="008F178F">
            <w:pPr>
              <w:snapToGrid w:val="0"/>
              <w:spacing w:line="400" w:lineRule="exact"/>
              <w:jc w:val="center"/>
              <w:rPr>
                <w:rFonts w:ascii="標楷體" w:eastAsia="標楷體" w:hAnsi="標楷體"/>
                <w:b/>
                <w:bCs/>
                <w:szCs w:val="24"/>
              </w:rPr>
            </w:pPr>
            <w:r w:rsidRPr="008F178F">
              <w:rPr>
                <w:rFonts w:ascii="標楷體" w:eastAsia="標楷體" w:hAnsi="標楷體" w:hint="eastAsia"/>
                <w:b/>
                <w:bCs/>
                <w:szCs w:val="24"/>
              </w:rPr>
              <w:t>修正條文</w:t>
            </w:r>
          </w:p>
        </w:tc>
        <w:tc>
          <w:tcPr>
            <w:tcW w:w="3400" w:type="dxa"/>
            <w:vAlign w:val="center"/>
          </w:tcPr>
          <w:p w14:paraId="3E3B7094" w14:textId="77777777" w:rsidR="0087558F" w:rsidRPr="008F178F" w:rsidRDefault="0087558F" w:rsidP="008F178F">
            <w:pPr>
              <w:snapToGrid w:val="0"/>
              <w:spacing w:line="400" w:lineRule="exact"/>
              <w:jc w:val="center"/>
              <w:rPr>
                <w:rFonts w:ascii="標楷體" w:eastAsia="標楷體" w:hAnsi="標楷體"/>
                <w:b/>
                <w:bCs/>
                <w:szCs w:val="24"/>
              </w:rPr>
            </w:pPr>
            <w:r w:rsidRPr="008F178F">
              <w:rPr>
                <w:rFonts w:ascii="標楷體" w:eastAsia="標楷體" w:hAnsi="標楷體" w:hint="eastAsia"/>
                <w:b/>
                <w:bCs/>
                <w:szCs w:val="24"/>
              </w:rPr>
              <w:t>現行條文</w:t>
            </w:r>
          </w:p>
        </w:tc>
        <w:tc>
          <w:tcPr>
            <w:tcW w:w="2634" w:type="dxa"/>
            <w:vAlign w:val="center"/>
          </w:tcPr>
          <w:p w14:paraId="095AB24A" w14:textId="77777777" w:rsidR="0087558F" w:rsidRPr="008F178F" w:rsidRDefault="0087558F" w:rsidP="008F178F">
            <w:pPr>
              <w:snapToGrid w:val="0"/>
              <w:spacing w:line="400" w:lineRule="exact"/>
              <w:jc w:val="center"/>
              <w:rPr>
                <w:rFonts w:ascii="標楷體" w:eastAsia="標楷體" w:hAnsi="標楷體"/>
                <w:b/>
                <w:bCs/>
                <w:szCs w:val="24"/>
              </w:rPr>
            </w:pPr>
            <w:r w:rsidRPr="008F178F">
              <w:rPr>
                <w:rFonts w:ascii="標楷體" w:eastAsia="標楷體" w:hAnsi="標楷體" w:hint="eastAsia"/>
                <w:b/>
                <w:bCs/>
                <w:szCs w:val="24"/>
              </w:rPr>
              <w:t>說明</w:t>
            </w:r>
          </w:p>
        </w:tc>
      </w:tr>
      <w:tr w:rsidR="00260392" w:rsidRPr="008F178F" w14:paraId="5EA94771" w14:textId="77777777" w:rsidTr="00C87060">
        <w:trPr>
          <w:trHeight w:val="176"/>
          <w:jc w:val="center"/>
        </w:trPr>
        <w:tc>
          <w:tcPr>
            <w:tcW w:w="3399" w:type="dxa"/>
          </w:tcPr>
          <w:p w14:paraId="799FC16A" w14:textId="34393F74" w:rsidR="00260392" w:rsidRPr="008F178F" w:rsidRDefault="00260392" w:rsidP="008F178F">
            <w:pPr>
              <w:pStyle w:val="a4"/>
              <w:spacing w:before="60" w:after="60" w:line="400" w:lineRule="exact"/>
              <w:jc w:val="both"/>
              <w:rPr>
                <w:rFonts w:ascii="標楷體" w:eastAsia="標楷體" w:hAnsi="標楷體"/>
                <w:bCs/>
                <w:color w:val="000000"/>
                <w:szCs w:val="24"/>
              </w:rPr>
            </w:pPr>
            <w:r w:rsidRPr="008F178F">
              <w:rPr>
                <w:rFonts w:ascii="標楷體" w:eastAsia="標楷體" w:hAnsi="標楷體" w:hint="eastAsia"/>
                <w:bCs/>
                <w:color w:val="000000"/>
                <w:szCs w:val="24"/>
              </w:rPr>
              <w:t>第五條之二   承銷商輔導發行公司或外國發行人以現金增資發行普通股申請初次上市（櫃）案件</w:t>
            </w:r>
            <w:r w:rsidR="00C87060" w:rsidRPr="008F178F">
              <w:rPr>
                <w:rFonts w:ascii="標楷體" w:eastAsia="標楷體" w:hAnsi="標楷體" w:hint="eastAsia"/>
                <w:b/>
                <w:color w:val="000000"/>
                <w:szCs w:val="24"/>
                <w:u w:val="single"/>
              </w:rPr>
              <w:t>、股票申請創新板初次上市案件</w:t>
            </w:r>
            <w:r w:rsidRPr="008F178F">
              <w:rPr>
                <w:rFonts w:ascii="標楷體" w:eastAsia="標楷體" w:hAnsi="標楷體" w:hint="eastAsia"/>
                <w:bCs/>
                <w:color w:val="000000"/>
                <w:szCs w:val="24"/>
              </w:rPr>
              <w:t>，除另有規定外，向金管會或其委託之機構申報案件時應以合理之方式訂定暫定價格，如</w:t>
            </w:r>
            <w:proofErr w:type="gramStart"/>
            <w:r w:rsidRPr="008F178F">
              <w:rPr>
                <w:rFonts w:ascii="標楷體" w:eastAsia="標楷體" w:hAnsi="標楷體" w:hint="eastAsia"/>
                <w:bCs/>
                <w:color w:val="000000"/>
                <w:szCs w:val="24"/>
              </w:rPr>
              <w:t>有興櫃交易</w:t>
            </w:r>
            <w:proofErr w:type="gramEnd"/>
            <w:r w:rsidRPr="008F178F">
              <w:rPr>
                <w:rFonts w:ascii="標楷體" w:eastAsia="標楷體" w:hAnsi="標楷體" w:hint="eastAsia"/>
                <w:bCs/>
                <w:color w:val="000000"/>
                <w:szCs w:val="24"/>
              </w:rPr>
              <w:t>者，暫定價格不得低於向金管會或其委託之機構申報案件前</w:t>
            </w:r>
            <w:proofErr w:type="gramStart"/>
            <w:r w:rsidRPr="008F178F">
              <w:rPr>
                <w:rFonts w:ascii="標楷體" w:eastAsia="標楷體" w:hAnsi="標楷體" w:hint="eastAsia"/>
                <w:bCs/>
                <w:color w:val="000000"/>
                <w:szCs w:val="24"/>
              </w:rPr>
              <w:t>興櫃</w:t>
            </w:r>
            <w:r w:rsidR="00C87060" w:rsidRPr="008F178F">
              <w:rPr>
                <w:rFonts w:ascii="標楷體" w:eastAsia="標楷體" w:hAnsi="標楷體" w:hint="eastAsia"/>
                <w:b/>
                <w:color w:val="000000"/>
                <w:szCs w:val="24"/>
                <w:u w:val="single"/>
              </w:rPr>
              <w:t>(</w:t>
            </w:r>
            <w:proofErr w:type="gramEnd"/>
            <w:r w:rsidR="00C87060" w:rsidRPr="008F178F">
              <w:rPr>
                <w:rFonts w:ascii="標楷體" w:eastAsia="標楷體" w:hAnsi="標楷體" w:hint="eastAsia"/>
                <w:b/>
                <w:color w:val="000000"/>
                <w:szCs w:val="24"/>
                <w:u w:val="single"/>
              </w:rPr>
              <w:t>或戰略新</w:t>
            </w:r>
            <w:proofErr w:type="gramStart"/>
            <w:r w:rsidR="00C87060" w:rsidRPr="008F178F">
              <w:rPr>
                <w:rFonts w:ascii="標楷體" w:eastAsia="標楷體" w:hAnsi="標楷體" w:hint="eastAsia"/>
                <w:b/>
                <w:color w:val="000000"/>
                <w:szCs w:val="24"/>
                <w:u w:val="single"/>
              </w:rPr>
              <w:t>板興櫃</w:t>
            </w:r>
            <w:proofErr w:type="gramEnd"/>
            <w:r w:rsidR="00C87060" w:rsidRPr="008F178F">
              <w:rPr>
                <w:rFonts w:ascii="標楷體" w:eastAsia="標楷體" w:hAnsi="標楷體" w:hint="eastAsia"/>
                <w:b/>
                <w:color w:val="000000"/>
                <w:szCs w:val="24"/>
                <w:u w:val="single"/>
              </w:rPr>
              <w:t>公司)</w:t>
            </w:r>
            <w:r w:rsidRPr="008F178F">
              <w:rPr>
                <w:rFonts w:ascii="標楷體" w:eastAsia="標楷體" w:hAnsi="標楷體" w:hint="eastAsia"/>
                <w:bCs/>
                <w:color w:val="000000"/>
                <w:szCs w:val="24"/>
              </w:rPr>
              <w:t>有成交之十個營業日其</w:t>
            </w:r>
            <w:proofErr w:type="gramStart"/>
            <w:r w:rsidRPr="008F178F">
              <w:rPr>
                <w:rFonts w:ascii="標楷體" w:eastAsia="標楷體" w:hAnsi="標楷體" w:hint="eastAsia"/>
                <w:bCs/>
                <w:color w:val="000000"/>
                <w:szCs w:val="24"/>
              </w:rPr>
              <w:t>成交均價</w:t>
            </w:r>
            <w:proofErr w:type="gramEnd"/>
            <w:r w:rsidR="00C87060" w:rsidRPr="008F178F">
              <w:rPr>
                <w:rFonts w:ascii="標楷體" w:eastAsia="標楷體" w:hAnsi="標楷體" w:hint="eastAsia"/>
                <w:b/>
                <w:color w:val="000000"/>
                <w:szCs w:val="24"/>
                <w:u w:val="single"/>
              </w:rPr>
              <w:t>(或戰略新</w:t>
            </w:r>
            <w:proofErr w:type="gramStart"/>
            <w:r w:rsidR="00C87060" w:rsidRPr="008F178F">
              <w:rPr>
                <w:rFonts w:ascii="標楷體" w:eastAsia="標楷體" w:hAnsi="標楷體" w:hint="eastAsia"/>
                <w:b/>
                <w:color w:val="000000"/>
                <w:szCs w:val="24"/>
                <w:u w:val="single"/>
              </w:rPr>
              <w:t>板興櫃</w:t>
            </w:r>
            <w:proofErr w:type="gramEnd"/>
            <w:r w:rsidR="00C87060" w:rsidRPr="008F178F">
              <w:rPr>
                <w:rFonts w:ascii="標楷體" w:eastAsia="標楷體" w:hAnsi="標楷體" w:hint="eastAsia"/>
                <w:b/>
                <w:color w:val="000000"/>
                <w:szCs w:val="24"/>
                <w:u w:val="single"/>
              </w:rPr>
              <w:t>公司收盤價)</w:t>
            </w:r>
            <w:r w:rsidRPr="008F178F">
              <w:rPr>
                <w:rFonts w:ascii="標楷體" w:eastAsia="標楷體" w:hAnsi="標楷體" w:hint="eastAsia"/>
                <w:bCs/>
                <w:color w:val="000000"/>
                <w:szCs w:val="24"/>
              </w:rPr>
              <w:t>簡單算術平均數之七成；如經股東會決議原股東全數放棄優先認股者，得</w:t>
            </w:r>
            <w:proofErr w:type="gramStart"/>
            <w:r w:rsidRPr="008F178F">
              <w:rPr>
                <w:rFonts w:ascii="標楷體" w:eastAsia="標楷體" w:hAnsi="標楷體" w:hint="eastAsia"/>
                <w:bCs/>
                <w:color w:val="000000"/>
                <w:szCs w:val="24"/>
              </w:rPr>
              <w:t>採</w:t>
            </w:r>
            <w:proofErr w:type="gramEnd"/>
            <w:r w:rsidRPr="008F178F">
              <w:rPr>
                <w:rFonts w:ascii="標楷體" w:eastAsia="標楷體" w:hAnsi="標楷體" w:hint="eastAsia"/>
                <w:bCs/>
                <w:color w:val="000000"/>
                <w:szCs w:val="24"/>
              </w:rPr>
              <w:t>股數區間方式辦理申報，並敘明實際發行價格或股數如有變動，導致募集資金不足時之處理或募集資金增加時之資金用途及預計效益，承銷商並應就其適法性及合理性評估。</w:t>
            </w:r>
          </w:p>
          <w:p w14:paraId="72D11042" w14:textId="5969B78D" w:rsidR="00C87060" w:rsidRDefault="00C87060" w:rsidP="008F178F">
            <w:pPr>
              <w:pStyle w:val="a4"/>
              <w:spacing w:before="60" w:after="60" w:line="400" w:lineRule="exact"/>
              <w:jc w:val="both"/>
              <w:rPr>
                <w:rFonts w:ascii="標楷體" w:eastAsia="標楷體" w:hAnsi="標楷體"/>
                <w:bCs/>
                <w:color w:val="000000"/>
                <w:szCs w:val="24"/>
              </w:rPr>
            </w:pPr>
          </w:p>
          <w:p w14:paraId="1B26C7B7" w14:textId="77777777" w:rsidR="008F178F" w:rsidRPr="008F178F" w:rsidRDefault="008F178F" w:rsidP="008F178F">
            <w:pPr>
              <w:pStyle w:val="a4"/>
              <w:spacing w:before="60" w:after="60" w:line="400" w:lineRule="exact"/>
              <w:jc w:val="both"/>
              <w:rPr>
                <w:rFonts w:ascii="標楷體" w:eastAsia="標楷體" w:hAnsi="標楷體"/>
                <w:bCs/>
                <w:color w:val="000000"/>
                <w:szCs w:val="24"/>
              </w:rPr>
            </w:pPr>
          </w:p>
          <w:p w14:paraId="47B37490" w14:textId="77777777" w:rsidR="00C87060" w:rsidRPr="008F178F" w:rsidRDefault="00C87060" w:rsidP="008F178F">
            <w:pPr>
              <w:pStyle w:val="a4"/>
              <w:spacing w:before="60" w:after="60" w:line="400" w:lineRule="exact"/>
              <w:jc w:val="both"/>
              <w:rPr>
                <w:rFonts w:ascii="標楷體" w:eastAsia="標楷體" w:hAnsi="標楷體"/>
                <w:bCs/>
                <w:color w:val="000000"/>
                <w:szCs w:val="24"/>
              </w:rPr>
            </w:pPr>
          </w:p>
          <w:p w14:paraId="00CBE6EA" w14:textId="77777777" w:rsidR="00260392" w:rsidRPr="008F178F" w:rsidRDefault="00260392" w:rsidP="008F178F">
            <w:pPr>
              <w:pStyle w:val="a4"/>
              <w:spacing w:before="60" w:after="60" w:line="400" w:lineRule="exact"/>
              <w:ind w:firstLineChars="200" w:firstLine="480"/>
              <w:jc w:val="both"/>
              <w:rPr>
                <w:rFonts w:ascii="標楷體" w:eastAsia="標楷體" w:hAnsi="標楷體"/>
                <w:bCs/>
                <w:color w:val="000000"/>
                <w:szCs w:val="24"/>
              </w:rPr>
            </w:pPr>
            <w:r w:rsidRPr="008F178F">
              <w:rPr>
                <w:rFonts w:ascii="標楷體" w:eastAsia="標楷體" w:hAnsi="標楷體" w:hint="eastAsia"/>
                <w:bCs/>
                <w:color w:val="000000"/>
                <w:szCs w:val="24"/>
              </w:rPr>
              <w:t>承銷商應輔導發行公司或外國發行人於實際發行價格確認後，於公開資訊觀測站中公告實際發行計畫，並更新公開</w:t>
            </w:r>
            <w:r w:rsidRPr="008F178F">
              <w:rPr>
                <w:rFonts w:ascii="標楷體" w:eastAsia="標楷體" w:hAnsi="標楷體" w:hint="eastAsia"/>
                <w:bCs/>
                <w:color w:val="000000"/>
                <w:szCs w:val="24"/>
              </w:rPr>
              <w:lastRenderedPageBreak/>
              <w:t>說明書相關內容。</w:t>
            </w:r>
          </w:p>
          <w:p w14:paraId="5657F561" w14:textId="65CA14BA" w:rsidR="00260392" w:rsidRPr="008F178F" w:rsidRDefault="00260392" w:rsidP="008F178F">
            <w:pPr>
              <w:pStyle w:val="a4"/>
              <w:spacing w:before="60" w:after="60" w:line="400" w:lineRule="exact"/>
              <w:ind w:firstLineChars="200" w:firstLine="480"/>
              <w:jc w:val="both"/>
              <w:rPr>
                <w:rFonts w:ascii="標楷體" w:eastAsia="標楷體" w:hAnsi="標楷體"/>
                <w:bCs/>
                <w:color w:val="000000"/>
                <w:szCs w:val="24"/>
              </w:rPr>
            </w:pPr>
            <w:r w:rsidRPr="008F178F">
              <w:rPr>
                <w:rFonts w:ascii="標楷體" w:eastAsia="標楷體" w:hAnsi="標楷體" w:hint="eastAsia"/>
                <w:bCs/>
                <w:color w:val="000000"/>
                <w:szCs w:val="24"/>
              </w:rPr>
              <w:t>以現金增資發行新股辦理股票初次上市、上櫃</w:t>
            </w:r>
            <w:r w:rsidR="00C87060" w:rsidRPr="008F178F">
              <w:rPr>
                <w:rFonts w:ascii="標楷體" w:eastAsia="標楷體" w:hAnsi="標楷體" w:hint="eastAsia"/>
                <w:b/>
                <w:color w:val="000000"/>
                <w:szCs w:val="24"/>
                <w:u w:val="single"/>
              </w:rPr>
              <w:t>、股票申請創新板上市</w:t>
            </w:r>
            <w:r w:rsidR="00C87060" w:rsidRPr="008F178F">
              <w:rPr>
                <w:rFonts w:ascii="標楷體" w:eastAsia="標楷體" w:hAnsi="標楷體" w:hint="eastAsia"/>
                <w:bCs/>
                <w:color w:val="000000"/>
                <w:szCs w:val="24"/>
              </w:rPr>
              <w:t>前</w:t>
            </w:r>
            <w:r w:rsidRPr="008F178F">
              <w:rPr>
                <w:rFonts w:ascii="標楷體" w:eastAsia="標楷體" w:hAnsi="標楷體" w:hint="eastAsia"/>
                <w:bCs/>
                <w:color w:val="000000"/>
                <w:szCs w:val="24"/>
              </w:rPr>
              <w:t>之承銷案件，主辦承銷商應與發行公司或外國發行人約定，由發行公司或外國發行人協調股東按該次現金增資對外公開銷售之一定比例之已發行普通股股票，供主辦承銷商於承銷期間</w:t>
            </w:r>
            <w:proofErr w:type="gramStart"/>
            <w:r w:rsidRPr="008F178F">
              <w:rPr>
                <w:rFonts w:ascii="標楷體" w:eastAsia="標楷體" w:hAnsi="標楷體" w:hint="eastAsia"/>
                <w:bCs/>
                <w:color w:val="000000"/>
                <w:szCs w:val="24"/>
              </w:rPr>
              <w:t>進行過額配售</w:t>
            </w:r>
            <w:proofErr w:type="gramEnd"/>
            <w:r w:rsidRPr="008F178F">
              <w:rPr>
                <w:rFonts w:ascii="標楷體" w:eastAsia="標楷體" w:hAnsi="標楷體" w:hint="eastAsia"/>
                <w:bCs/>
                <w:color w:val="000000"/>
                <w:szCs w:val="24"/>
              </w:rPr>
              <w:t>，並應依本公會「承銷商辦理初次上市（櫃）案件承銷作業應行注意事項要點」辦理。</w:t>
            </w:r>
          </w:p>
        </w:tc>
        <w:tc>
          <w:tcPr>
            <w:tcW w:w="3400" w:type="dxa"/>
          </w:tcPr>
          <w:p w14:paraId="0ADB77D7" w14:textId="2745C833" w:rsidR="00260392" w:rsidRPr="008F178F" w:rsidRDefault="00260392" w:rsidP="008F178F">
            <w:pPr>
              <w:pStyle w:val="a4"/>
              <w:spacing w:before="60" w:after="60" w:line="400" w:lineRule="exact"/>
              <w:jc w:val="both"/>
              <w:rPr>
                <w:rFonts w:ascii="標楷體" w:eastAsia="標楷體" w:hAnsi="標楷體"/>
                <w:bCs/>
                <w:color w:val="000000"/>
                <w:szCs w:val="24"/>
              </w:rPr>
            </w:pPr>
            <w:r w:rsidRPr="008F178F">
              <w:rPr>
                <w:rFonts w:ascii="標楷體" w:eastAsia="標楷體" w:hAnsi="標楷體" w:hint="eastAsia"/>
                <w:bCs/>
                <w:color w:val="000000"/>
                <w:szCs w:val="24"/>
              </w:rPr>
              <w:lastRenderedPageBreak/>
              <w:t>第五條之二   承銷商輔導發行公司或外國發行人以現金增資發行普通股申請初次上市（櫃）案件，除另有規定外，向金管會或其委託之機構申報案件時應以合理之方式訂定暫定價格，如</w:t>
            </w:r>
            <w:proofErr w:type="gramStart"/>
            <w:r w:rsidRPr="008F178F">
              <w:rPr>
                <w:rFonts w:ascii="標楷體" w:eastAsia="標楷體" w:hAnsi="標楷體" w:hint="eastAsia"/>
                <w:bCs/>
                <w:color w:val="000000"/>
                <w:szCs w:val="24"/>
              </w:rPr>
              <w:t>有興櫃交易</w:t>
            </w:r>
            <w:proofErr w:type="gramEnd"/>
            <w:r w:rsidRPr="008F178F">
              <w:rPr>
                <w:rFonts w:ascii="標楷體" w:eastAsia="標楷體" w:hAnsi="標楷體" w:hint="eastAsia"/>
                <w:bCs/>
                <w:color w:val="000000"/>
                <w:szCs w:val="24"/>
              </w:rPr>
              <w:t>者，暫定價格不得低於向金管會或其委託之機構申報案件</w:t>
            </w:r>
            <w:proofErr w:type="gramStart"/>
            <w:r w:rsidRPr="008F178F">
              <w:rPr>
                <w:rFonts w:ascii="標楷體" w:eastAsia="標楷體" w:hAnsi="標楷體" w:hint="eastAsia"/>
                <w:bCs/>
                <w:color w:val="000000"/>
                <w:szCs w:val="24"/>
              </w:rPr>
              <w:t>前興櫃有</w:t>
            </w:r>
            <w:proofErr w:type="gramEnd"/>
            <w:r w:rsidRPr="008F178F">
              <w:rPr>
                <w:rFonts w:ascii="標楷體" w:eastAsia="標楷體" w:hAnsi="標楷體" w:hint="eastAsia"/>
                <w:bCs/>
                <w:color w:val="000000"/>
                <w:szCs w:val="24"/>
              </w:rPr>
              <w:t>成交之十個營業日其</w:t>
            </w:r>
            <w:proofErr w:type="gramStart"/>
            <w:r w:rsidRPr="008F178F">
              <w:rPr>
                <w:rFonts w:ascii="標楷體" w:eastAsia="標楷體" w:hAnsi="標楷體" w:hint="eastAsia"/>
                <w:bCs/>
                <w:color w:val="000000"/>
                <w:szCs w:val="24"/>
              </w:rPr>
              <w:t>成交均價簡單</w:t>
            </w:r>
            <w:proofErr w:type="gramEnd"/>
            <w:r w:rsidRPr="008F178F">
              <w:rPr>
                <w:rFonts w:ascii="標楷體" w:eastAsia="標楷體" w:hAnsi="標楷體" w:hint="eastAsia"/>
                <w:bCs/>
                <w:color w:val="000000"/>
                <w:szCs w:val="24"/>
              </w:rPr>
              <w:t>算術平均數之七成</w:t>
            </w:r>
            <w:r w:rsidRPr="008F178F">
              <w:rPr>
                <w:rFonts w:ascii="標楷體" w:eastAsia="標楷體" w:hAnsi="標楷體" w:hint="eastAsia"/>
                <w:b/>
                <w:color w:val="000000"/>
                <w:szCs w:val="24"/>
                <w:u w:val="single"/>
              </w:rPr>
              <w:t>，股票申請創新板初次上市案件不得低於向金管會或其委託之機構申報案件前</w:t>
            </w:r>
            <w:proofErr w:type="gramStart"/>
            <w:r w:rsidRPr="008F178F">
              <w:rPr>
                <w:rFonts w:ascii="標楷體" w:eastAsia="標楷體" w:hAnsi="標楷體" w:hint="eastAsia"/>
                <w:b/>
                <w:color w:val="000000"/>
                <w:szCs w:val="24"/>
                <w:u w:val="single"/>
              </w:rPr>
              <w:t>興櫃(</w:t>
            </w:r>
            <w:proofErr w:type="gramEnd"/>
            <w:r w:rsidRPr="008F178F">
              <w:rPr>
                <w:rFonts w:ascii="標楷體" w:eastAsia="標楷體" w:hAnsi="標楷體" w:hint="eastAsia"/>
                <w:b/>
                <w:color w:val="000000"/>
                <w:szCs w:val="24"/>
                <w:u w:val="single"/>
              </w:rPr>
              <w:t>或戰略新</w:t>
            </w:r>
            <w:proofErr w:type="gramStart"/>
            <w:r w:rsidRPr="008F178F">
              <w:rPr>
                <w:rFonts w:ascii="標楷體" w:eastAsia="標楷體" w:hAnsi="標楷體" w:hint="eastAsia"/>
                <w:b/>
                <w:color w:val="000000"/>
                <w:szCs w:val="24"/>
                <w:u w:val="single"/>
              </w:rPr>
              <w:t>板興櫃</w:t>
            </w:r>
            <w:proofErr w:type="gramEnd"/>
            <w:r w:rsidRPr="008F178F">
              <w:rPr>
                <w:rFonts w:ascii="標楷體" w:eastAsia="標楷體" w:hAnsi="標楷體" w:hint="eastAsia"/>
                <w:b/>
                <w:color w:val="000000"/>
                <w:szCs w:val="24"/>
                <w:u w:val="single"/>
              </w:rPr>
              <w:t>公司)有成交之十個營業日其</w:t>
            </w:r>
            <w:proofErr w:type="gramStart"/>
            <w:r w:rsidRPr="008F178F">
              <w:rPr>
                <w:rFonts w:ascii="標楷體" w:eastAsia="標楷體" w:hAnsi="標楷體" w:hint="eastAsia"/>
                <w:b/>
                <w:color w:val="000000"/>
                <w:szCs w:val="24"/>
                <w:u w:val="single"/>
              </w:rPr>
              <w:t>成交均價</w:t>
            </w:r>
            <w:proofErr w:type="gramEnd"/>
            <w:r w:rsidRPr="008F178F">
              <w:rPr>
                <w:rFonts w:ascii="標楷體" w:eastAsia="標楷體" w:hAnsi="標楷體" w:hint="eastAsia"/>
                <w:b/>
                <w:color w:val="000000"/>
                <w:szCs w:val="24"/>
                <w:u w:val="single"/>
              </w:rPr>
              <w:t>(或戰略新</w:t>
            </w:r>
            <w:proofErr w:type="gramStart"/>
            <w:r w:rsidRPr="008F178F">
              <w:rPr>
                <w:rFonts w:ascii="標楷體" w:eastAsia="標楷體" w:hAnsi="標楷體" w:hint="eastAsia"/>
                <w:b/>
                <w:color w:val="000000"/>
                <w:szCs w:val="24"/>
                <w:u w:val="single"/>
              </w:rPr>
              <w:t>板興櫃</w:t>
            </w:r>
            <w:proofErr w:type="gramEnd"/>
            <w:r w:rsidRPr="008F178F">
              <w:rPr>
                <w:rFonts w:ascii="標楷體" w:eastAsia="標楷體" w:hAnsi="標楷體" w:hint="eastAsia"/>
                <w:b/>
                <w:color w:val="000000"/>
                <w:szCs w:val="24"/>
                <w:u w:val="single"/>
              </w:rPr>
              <w:t>公司收盤價)簡單算術平均數之九成</w:t>
            </w:r>
            <w:r w:rsidRPr="008F178F">
              <w:rPr>
                <w:rFonts w:ascii="標楷體" w:eastAsia="標楷體" w:hAnsi="標楷體" w:hint="eastAsia"/>
                <w:bCs/>
                <w:color w:val="000000"/>
                <w:szCs w:val="24"/>
              </w:rPr>
              <w:t>；如經股東會決議原股東全數放棄優先認股者，得</w:t>
            </w:r>
            <w:proofErr w:type="gramStart"/>
            <w:r w:rsidRPr="008F178F">
              <w:rPr>
                <w:rFonts w:ascii="標楷體" w:eastAsia="標楷體" w:hAnsi="標楷體" w:hint="eastAsia"/>
                <w:bCs/>
                <w:color w:val="000000"/>
                <w:szCs w:val="24"/>
              </w:rPr>
              <w:t>採</w:t>
            </w:r>
            <w:proofErr w:type="gramEnd"/>
            <w:r w:rsidRPr="008F178F">
              <w:rPr>
                <w:rFonts w:ascii="標楷體" w:eastAsia="標楷體" w:hAnsi="標楷體" w:hint="eastAsia"/>
                <w:bCs/>
                <w:color w:val="000000"/>
                <w:szCs w:val="24"/>
              </w:rPr>
              <w:t>股數區間方式辦理申報，並敘明實際發行價格或股數如有變動，導致募集資金不足時之處理或募集資金增加時之資金用途及預計效益，承銷商並應就其適法性及合理性評估。</w:t>
            </w:r>
          </w:p>
          <w:p w14:paraId="209136B1" w14:textId="77777777" w:rsidR="00260392" w:rsidRPr="008F178F" w:rsidRDefault="00260392" w:rsidP="008F178F">
            <w:pPr>
              <w:pStyle w:val="a4"/>
              <w:spacing w:before="60" w:after="60" w:line="400" w:lineRule="exact"/>
              <w:ind w:firstLineChars="200" w:firstLine="480"/>
              <w:jc w:val="both"/>
              <w:rPr>
                <w:rFonts w:ascii="標楷體" w:eastAsia="標楷體" w:hAnsi="標楷體"/>
                <w:bCs/>
                <w:color w:val="000000"/>
                <w:szCs w:val="24"/>
              </w:rPr>
            </w:pPr>
            <w:r w:rsidRPr="008F178F">
              <w:rPr>
                <w:rFonts w:ascii="標楷體" w:eastAsia="標楷體" w:hAnsi="標楷體" w:hint="eastAsia"/>
                <w:bCs/>
                <w:color w:val="000000"/>
                <w:szCs w:val="24"/>
              </w:rPr>
              <w:t>承銷商應輔導發行公司或外國發行人於實際發行價格確認後，於公開資訊觀測站中公告實際發行計畫，並更新公開說明書相關內容。</w:t>
            </w:r>
          </w:p>
          <w:p w14:paraId="076D7132" w14:textId="7DEBF7FE" w:rsidR="00260392" w:rsidRPr="008F178F" w:rsidRDefault="00260392" w:rsidP="008F178F">
            <w:pPr>
              <w:pStyle w:val="a4"/>
              <w:spacing w:before="60" w:after="60" w:line="400" w:lineRule="exact"/>
              <w:ind w:firstLineChars="200" w:firstLine="480"/>
              <w:jc w:val="both"/>
              <w:rPr>
                <w:rFonts w:ascii="標楷體" w:eastAsia="標楷體" w:hAnsi="標楷體"/>
                <w:bCs/>
                <w:color w:val="000000"/>
                <w:szCs w:val="24"/>
              </w:rPr>
            </w:pPr>
            <w:r w:rsidRPr="008F178F">
              <w:rPr>
                <w:rFonts w:ascii="標楷體" w:eastAsia="標楷體" w:hAnsi="標楷體" w:hint="eastAsia"/>
                <w:b/>
                <w:color w:val="000000"/>
                <w:szCs w:val="24"/>
                <w:u w:val="single"/>
              </w:rPr>
              <w:lastRenderedPageBreak/>
              <w:t>除股票申請創新板上市案件外，</w:t>
            </w:r>
            <w:r w:rsidRPr="008F178F">
              <w:rPr>
                <w:rFonts w:ascii="標楷體" w:eastAsia="標楷體" w:hAnsi="標楷體" w:hint="eastAsia"/>
                <w:bCs/>
                <w:color w:val="000000"/>
                <w:szCs w:val="24"/>
              </w:rPr>
              <w:t>以現金增資發行新股辦理股票初次上市、上櫃前之承銷案件</w:t>
            </w:r>
            <w:r w:rsidRPr="008F178F">
              <w:rPr>
                <w:rFonts w:ascii="標楷體" w:eastAsia="標楷體" w:hAnsi="標楷體" w:hint="eastAsia"/>
                <w:b/>
                <w:color w:val="000000"/>
                <w:szCs w:val="24"/>
                <w:u w:val="single"/>
              </w:rPr>
              <w:t>、創新板上市公司轉列上市、上櫃公司案件</w:t>
            </w:r>
            <w:r w:rsidRPr="008F178F">
              <w:rPr>
                <w:rFonts w:ascii="標楷體" w:eastAsia="標楷體" w:hAnsi="標楷體" w:hint="eastAsia"/>
                <w:bCs/>
                <w:color w:val="000000"/>
                <w:szCs w:val="24"/>
              </w:rPr>
              <w:t>，主辦承銷商應與發行公司或外國發行人約定，由發行公司或外國發行人協調股東按該次現金增資對外公開銷售之一定比例之已發行普通股股票，供主辦承銷商於承銷期間</w:t>
            </w:r>
            <w:proofErr w:type="gramStart"/>
            <w:r w:rsidRPr="008F178F">
              <w:rPr>
                <w:rFonts w:ascii="標楷體" w:eastAsia="標楷體" w:hAnsi="標楷體" w:hint="eastAsia"/>
                <w:bCs/>
                <w:color w:val="000000"/>
                <w:szCs w:val="24"/>
              </w:rPr>
              <w:t>進行過額配售</w:t>
            </w:r>
            <w:proofErr w:type="gramEnd"/>
            <w:r w:rsidRPr="008F178F">
              <w:rPr>
                <w:rFonts w:ascii="標楷體" w:eastAsia="標楷體" w:hAnsi="標楷體" w:hint="eastAsia"/>
                <w:bCs/>
                <w:color w:val="000000"/>
                <w:szCs w:val="24"/>
              </w:rPr>
              <w:t>，並應依本公會「承銷商辦理初次上市（櫃）案件承銷作業應行注意事項要點」辦理。</w:t>
            </w:r>
          </w:p>
        </w:tc>
        <w:tc>
          <w:tcPr>
            <w:tcW w:w="2634" w:type="dxa"/>
          </w:tcPr>
          <w:p w14:paraId="050FD256" w14:textId="4B04D82D" w:rsidR="00260392" w:rsidRPr="008F178F" w:rsidRDefault="004C11FA" w:rsidP="008F178F">
            <w:pPr>
              <w:pStyle w:val="a4"/>
              <w:numPr>
                <w:ilvl w:val="0"/>
                <w:numId w:val="8"/>
              </w:numPr>
              <w:spacing w:before="60" w:after="60" w:line="400" w:lineRule="exact"/>
              <w:jc w:val="both"/>
              <w:rPr>
                <w:rFonts w:ascii="標楷體" w:eastAsia="標楷體" w:hAnsi="標楷體"/>
                <w:bCs/>
                <w:color w:val="000000"/>
                <w:szCs w:val="24"/>
              </w:rPr>
            </w:pPr>
            <w:r w:rsidRPr="008F178F">
              <w:rPr>
                <w:rFonts w:ascii="標楷體" w:eastAsia="標楷體" w:hAnsi="標楷體" w:hint="eastAsia"/>
                <w:bCs/>
                <w:color w:val="000000"/>
                <w:szCs w:val="24"/>
              </w:rPr>
              <w:lastRenderedPageBreak/>
              <w:t>為提高創新板初次上市案件承銷價格發現功能，修正第五條之二第一項，明訂創新板初次上市案件</w:t>
            </w:r>
            <w:proofErr w:type="gramStart"/>
            <w:r w:rsidRPr="008F178F">
              <w:rPr>
                <w:rFonts w:ascii="標楷體" w:eastAsia="標楷體" w:hAnsi="標楷體" w:hint="eastAsia"/>
                <w:bCs/>
                <w:color w:val="000000"/>
                <w:szCs w:val="24"/>
              </w:rPr>
              <w:t>採詢</w:t>
            </w:r>
            <w:proofErr w:type="gramEnd"/>
            <w:r w:rsidRPr="008F178F">
              <w:rPr>
                <w:rFonts w:ascii="標楷體" w:eastAsia="標楷體" w:hAnsi="標楷體" w:hint="eastAsia"/>
                <w:bCs/>
                <w:color w:val="000000"/>
                <w:szCs w:val="24"/>
              </w:rPr>
              <w:t>價圈購方式辦理者，其暫定價格不得低於向金管會或其委託之機構申報案件</w:t>
            </w:r>
            <w:proofErr w:type="gramStart"/>
            <w:r w:rsidRPr="008F178F">
              <w:rPr>
                <w:rFonts w:ascii="標楷體" w:eastAsia="標楷體" w:hAnsi="標楷體" w:hint="eastAsia"/>
                <w:bCs/>
                <w:color w:val="000000"/>
                <w:szCs w:val="24"/>
              </w:rPr>
              <w:t>前興櫃有</w:t>
            </w:r>
            <w:proofErr w:type="gramEnd"/>
            <w:r w:rsidRPr="008F178F">
              <w:rPr>
                <w:rFonts w:ascii="標楷體" w:eastAsia="標楷體" w:hAnsi="標楷體" w:hint="eastAsia"/>
                <w:bCs/>
                <w:color w:val="000000"/>
                <w:szCs w:val="24"/>
              </w:rPr>
              <w:t>成交之十個營業日其</w:t>
            </w:r>
            <w:proofErr w:type="gramStart"/>
            <w:r w:rsidRPr="008F178F">
              <w:rPr>
                <w:rFonts w:ascii="標楷體" w:eastAsia="標楷體" w:hAnsi="標楷體" w:hint="eastAsia"/>
                <w:bCs/>
                <w:color w:val="000000"/>
                <w:szCs w:val="24"/>
              </w:rPr>
              <w:t>成交均價簡單</w:t>
            </w:r>
            <w:proofErr w:type="gramEnd"/>
            <w:r w:rsidRPr="008F178F">
              <w:rPr>
                <w:rFonts w:ascii="標楷體" w:eastAsia="標楷體" w:hAnsi="標楷體" w:hint="eastAsia"/>
                <w:bCs/>
                <w:color w:val="000000"/>
                <w:szCs w:val="24"/>
              </w:rPr>
              <w:t>算術平均數之七成。</w:t>
            </w:r>
          </w:p>
          <w:p w14:paraId="0C9C2E4F" w14:textId="1C902D71" w:rsidR="00C87060" w:rsidRPr="008F178F" w:rsidRDefault="00C87060" w:rsidP="008F178F">
            <w:pPr>
              <w:pStyle w:val="a4"/>
              <w:numPr>
                <w:ilvl w:val="0"/>
                <w:numId w:val="8"/>
              </w:numPr>
              <w:spacing w:before="60" w:after="60" w:line="400" w:lineRule="exact"/>
              <w:jc w:val="both"/>
              <w:rPr>
                <w:rFonts w:ascii="標楷體" w:eastAsia="標楷體" w:hAnsi="標楷體"/>
                <w:bCs/>
                <w:color w:val="000000"/>
                <w:szCs w:val="24"/>
              </w:rPr>
            </w:pPr>
            <w:r w:rsidRPr="008F178F">
              <w:rPr>
                <w:rFonts w:ascii="標楷體" w:eastAsia="標楷體" w:hAnsi="標楷體" w:hint="eastAsia"/>
                <w:bCs/>
                <w:color w:val="000000"/>
                <w:szCs w:val="24"/>
              </w:rPr>
              <w:t>配合創新板IPO改</w:t>
            </w:r>
            <w:proofErr w:type="gramStart"/>
            <w:r w:rsidRPr="008F178F">
              <w:rPr>
                <w:rFonts w:ascii="標楷體" w:eastAsia="標楷體" w:hAnsi="標楷體" w:hint="eastAsia"/>
                <w:bCs/>
                <w:color w:val="000000"/>
                <w:szCs w:val="24"/>
              </w:rPr>
              <w:t>採</w:t>
            </w:r>
            <w:proofErr w:type="gramEnd"/>
            <w:r w:rsidRPr="008F178F">
              <w:rPr>
                <w:rFonts w:ascii="標楷體" w:eastAsia="標楷體" w:hAnsi="標楷體" w:hint="eastAsia"/>
                <w:bCs/>
                <w:color w:val="000000"/>
                <w:szCs w:val="24"/>
              </w:rPr>
              <w:t>首五日無漲跌幅限制，及創新轉列一般板上市(櫃)時改</w:t>
            </w:r>
            <w:proofErr w:type="gramStart"/>
            <w:r w:rsidRPr="008F178F">
              <w:rPr>
                <w:rFonts w:ascii="標楷體" w:eastAsia="標楷體" w:hAnsi="標楷體" w:hint="eastAsia"/>
                <w:bCs/>
                <w:color w:val="000000"/>
                <w:szCs w:val="24"/>
              </w:rPr>
              <w:t>採</w:t>
            </w:r>
            <w:proofErr w:type="gramEnd"/>
            <w:r w:rsidRPr="008F178F">
              <w:rPr>
                <w:rFonts w:ascii="標楷體" w:eastAsia="標楷體" w:hAnsi="標楷體" w:hint="eastAsia"/>
                <w:bCs/>
                <w:color w:val="000000"/>
                <w:szCs w:val="24"/>
              </w:rPr>
              <w:t>10%漲跌幅限制之調整，修正第三項，明訂承銷商辦理創新板IPO案件，應與發行公司約定提供已發行普通股股票供主辦承銷商</w:t>
            </w:r>
            <w:proofErr w:type="gramStart"/>
            <w:r w:rsidRPr="008F178F">
              <w:rPr>
                <w:rFonts w:ascii="標楷體" w:eastAsia="標楷體" w:hAnsi="標楷體" w:hint="eastAsia"/>
                <w:bCs/>
                <w:color w:val="000000"/>
                <w:szCs w:val="24"/>
              </w:rPr>
              <w:t>辦理過額配</w:t>
            </w:r>
            <w:r w:rsidRPr="008F178F">
              <w:rPr>
                <w:rFonts w:ascii="標楷體" w:eastAsia="標楷體" w:hAnsi="標楷體" w:hint="eastAsia"/>
                <w:bCs/>
                <w:color w:val="000000"/>
                <w:szCs w:val="24"/>
              </w:rPr>
              <w:lastRenderedPageBreak/>
              <w:t>售</w:t>
            </w:r>
            <w:proofErr w:type="gramEnd"/>
            <w:r w:rsidRPr="008F178F">
              <w:rPr>
                <w:rFonts w:ascii="標楷體" w:eastAsia="標楷體" w:hAnsi="標楷體" w:hint="eastAsia"/>
                <w:bCs/>
                <w:color w:val="000000"/>
                <w:szCs w:val="24"/>
              </w:rPr>
              <w:t>，並應依初次上市（櫃）案件承銷作業應行注意事項要點辦理，並刪除</w:t>
            </w:r>
            <w:proofErr w:type="gramStart"/>
            <w:r w:rsidRPr="008F178F">
              <w:rPr>
                <w:rFonts w:ascii="標楷體" w:eastAsia="標楷體" w:hAnsi="標楷體" w:hint="eastAsia"/>
                <w:bCs/>
                <w:color w:val="000000"/>
                <w:szCs w:val="24"/>
              </w:rPr>
              <w:t>創新板轉列一般板應適用</w:t>
            </w:r>
            <w:proofErr w:type="gramEnd"/>
            <w:r w:rsidRPr="008F178F">
              <w:rPr>
                <w:rFonts w:ascii="標楷體" w:eastAsia="標楷體" w:hAnsi="標楷體" w:hint="eastAsia"/>
                <w:bCs/>
                <w:color w:val="000000"/>
                <w:szCs w:val="24"/>
              </w:rPr>
              <w:t>之規定。</w:t>
            </w:r>
          </w:p>
        </w:tc>
      </w:tr>
    </w:tbl>
    <w:p w14:paraId="585EF688" w14:textId="77777777" w:rsidR="0087558F" w:rsidRPr="004826C6" w:rsidRDefault="0087558F"/>
    <w:sectPr w:rsidR="0087558F" w:rsidRPr="004826C6" w:rsidSect="00C87060">
      <w:footerReference w:type="default" r:id="rId8"/>
      <w:pgSz w:w="11906" w:h="16838"/>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5D5D" w14:textId="77777777" w:rsidR="00B86C1B" w:rsidRDefault="00B86C1B" w:rsidP="009F5227">
      <w:r>
        <w:separator/>
      </w:r>
    </w:p>
  </w:endnote>
  <w:endnote w:type="continuationSeparator" w:id="0">
    <w:p w14:paraId="5B9F3518" w14:textId="77777777" w:rsidR="00B86C1B" w:rsidRDefault="00B86C1B" w:rsidP="009F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597725"/>
      <w:docPartObj>
        <w:docPartGallery w:val="Page Numbers (Bottom of Page)"/>
        <w:docPartUnique/>
      </w:docPartObj>
    </w:sdtPr>
    <w:sdtEndPr>
      <w:rPr>
        <w:sz w:val="24"/>
        <w:szCs w:val="24"/>
      </w:rPr>
    </w:sdtEndPr>
    <w:sdtContent>
      <w:p w14:paraId="6EFC2868" w14:textId="79F95758" w:rsidR="00A30B36" w:rsidRPr="00A30B36" w:rsidRDefault="00A30B36">
        <w:pPr>
          <w:pStyle w:val="aa"/>
          <w:jc w:val="center"/>
          <w:rPr>
            <w:sz w:val="24"/>
            <w:szCs w:val="24"/>
          </w:rPr>
        </w:pPr>
        <w:r w:rsidRPr="00A30B36">
          <w:rPr>
            <w:sz w:val="24"/>
            <w:szCs w:val="24"/>
          </w:rPr>
          <w:fldChar w:fldCharType="begin"/>
        </w:r>
        <w:r w:rsidRPr="00A30B36">
          <w:rPr>
            <w:sz w:val="24"/>
            <w:szCs w:val="24"/>
          </w:rPr>
          <w:instrText>PAGE   \* MERGEFORMAT</w:instrText>
        </w:r>
        <w:r w:rsidRPr="00A30B36">
          <w:rPr>
            <w:sz w:val="24"/>
            <w:szCs w:val="24"/>
          </w:rPr>
          <w:fldChar w:fldCharType="separate"/>
        </w:r>
        <w:r w:rsidRPr="00A30B36">
          <w:rPr>
            <w:sz w:val="24"/>
            <w:szCs w:val="24"/>
            <w:lang w:val="zh-TW"/>
          </w:rPr>
          <w:t>2</w:t>
        </w:r>
        <w:r w:rsidRPr="00A30B36">
          <w:rPr>
            <w:sz w:val="24"/>
            <w:szCs w:val="24"/>
          </w:rPr>
          <w:fldChar w:fldCharType="end"/>
        </w:r>
      </w:p>
    </w:sdtContent>
  </w:sdt>
  <w:p w14:paraId="2AB8106E" w14:textId="77777777" w:rsidR="00A30B36" w:rsidRDefault="00A30B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9F14" w14:textId="77777777" w:rsidR="00B86C1B" w:rsidRDefault="00B86C1B" w:rsidP="009F5227">
      <w:r>
        <w:separator/>
      </w:r>
    </w:p>
  </w:footnote>
  <w:footnote w:type="continuationSeparator" w:id="0">
    <w:p w14:paraId="2944B3E7" w14:textId="77777777" w:rsidR="00B86C1B" w:rsidRDefault="00B86C1B" w:rsidP="009F5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4250"/>
    <w:multiLevelType w:val="hybridMultilevel"/>
    <w:tmpl w:val="B1A6C3C6"/>
    <w:lvl w:ilvl="0" w:tplc="0F6C1ECC">
      <w:start w:val="1"/>
      <w:numFmt w:val="taiwaneseCountingThousand"/>
      <w:suff w:val="nothing"/>
      <w:lvlText w:val="%1、"/>
      <w:lvlJc w:val="left"/>
      <w:pPr>
        <w:ind w:left="480" w:hanging="480"/>
      </w:pPr>
      <w:rPr>
        <w:rFonts w:hint="default"/>
      </w:rPr>
    </w:lvl>
    <w:lvl w:ilvl="1" w:tplc="04090019">
      <w:start w:val="1"/>
      <w:numFmt w:val="ideographTraditional"/>
      <w:lvlText w:val="%2、"/>
      <w:lvlJc w:val="left"/>
      <w:pPr>
        <w:ind w:left="960" w:hanging="480"/>
      </w:pPr>
    </w:lvl>
    <w:lvl w:ilvl="2" w:tplc="C2CA74FE">
      <w:start w:val="1"/>
      <w:numFmt w:val="taiwaneseCountingThousand"/>
      <w:suff w:val="nothing"/>
      <w:lvlText w:val="（%3）"/>
      <w:lvlJc w:val="left"/>
      <w:pPr>
        <w:ind w:left="2564"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A20DA5"/>
    <w:multiLevelType w:val="singleLevel"/>
    <w:tmpl w:val="93269A6A"/>
    <w:lvl w:ilvl="0">
      <w:start w:val="51"/>
      <w:numFmt w:val="taiwaneseCountingThousand"/>
      <w:lvlText w:val="第%1條"/>
      <w:lvlJc w:val="left"/>
      <w:pPr>
        <w:tabs>
          <w:tab w:val="num" w:pos="1446"/>
        </w:tabs>
        <w:ind w:left="1446" w:hanging="1446"/>
      </w:pPr>
      <w:rPr>
        <w:rFonts w:hint="eastAsia"/>
      </w:rPr>
    </w:lvl>
  </w:abstractNum>
  <w:abstractNum w:abstractNumId="2" w15:restartNumberingAfterBreak="0">
    <w:nsid w:val="2CC70A34"/>
    <w:multiLevelType w:val="singleLevel"/>
    <w:tmpl w:val="2E0C0428"/>
    <w:lvl w:ilvl="0">
      <w:start w:val="44"/>
      <w:numFmt w:val="taiwaneseCountingThousand"/>
      <w:lvlText w:val="第%1條"/>
      <w:lvlJc w:val="left"/>
      <w:pPr>
        <w:tabs>
          <w:tab w:val="num" w:pos="1440"/>
        </w:tabs>
        <w:ind w:left="1440" w:hanging="1440"/>
      </w:pPr>
      <w:rPr>
        <w:rFonts w:hint="eastAsia"/>
      </w:rPr>
    </w:lvl>
  </w:abstractNum>
  <w:abstractNum w:abstractNumId="3" w15:restartNumberingAfterBreak="0">
    <w:nsid w:val="52927DA0"/>
    <w:multiLevelType w:val="hybridMultilevel"/>
    <w:tmpl w:val="65A27188"/>
    <w:lvl w:ilvl="0" w:tplc="5CBC14E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57F33E26"/>
    <w:multiLevelType w:val="hybridMultilevel"/>
    <w:tmpl w:val="3A9273C6"/>
    <w:lvl w:ilvl="0" w:tplc="8D4E65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DE0F3F"/>
    <w:multiLevelType w:val="singleLevel"/>
    <w:tmpl w:val="28468138"/>
    <w:lvl w:ilvl="0">
      <w:start w:val="1"/>
      <w:numFmt w:val="taiwaneseCountingThousand"/>
      <w:lvlText w:val="（%1）"/>
      <w:lvlJc w:val="left"/>
      <w:pPr>
        <w:tabs>
          <w:tab w:val="num" w:pos="2252"/>
        </w:tabs>
        <w:ind w:left="2252" w:hanging="720"/>
      </w:pPr>
      <w:rPr>
        <w:rFonts w:hint="eastAsia"/>
        <w:sz w:val="24"/>
      </w:rPr>
    </w:lvl>
  </w:abstractNum>
  <w:abstractNum w:abstractNumId="6" w15:restartNumberingAfterBreak="0">
    <w:nsid w:val="61831A07"/>
    <w:multiLevelType w:val="hybridMultilevel"/>
    <w:tmpl w:val="642083A2"/>
    <w:lvl w:ilvl="0" w:tplc="C088CE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885AE6"/>
    <w:multiLevelType w:val="hybridMultilevel"/>
    <w:tmpl w:val="BCBE4C9A"/>
    <w:lvl w:ilvl="0" w:tplc="CFDA63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73456192">
    <w:abstractNumId w:val="3"/>
  </w:num>
  <w:num w:numId="2" w16cid:durableId="1296107678">
    <w:abstractNumId w:val="5"/>
  </w:num>
  <w:num w:numId="3" w16cid:durableId="171536017">
    <w:abstractNumId w:val="2"/>
  </w:num>
  <w:num w:numId="4" w16cid:durableId="1149709576">
    <w:abstractNumId w:val="1"/>
  </w:num>
  <w:num w:numId="5" w16cid:durableId="293759835">
    <w:abstractNumId w:val="4"/>
  </w:num>
  <w:num w:numId="6" w16cid:durableId="827480145">
    <w:abstractNumId w:val="6"/>
  </w:num>
  <w:num w:numId="7" w16cid:durableId="1563909857">
    <w:abstractNumId w:val="0"/>
  </w:num>
  <w:num w:numId="8" w16cid:durableId="1657757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8F"/>
    <w:rsid w:val="0002424E"/>
    <w:rsid w:val="00024928"/>
    <w:rsid w:val="000615E1"/>
    <w:rsid w:val="000A1123"/>
    <w:rsid w:val="000D7F34"/>
    <w:rsid w:val="000E5953"/>
    <w:rsid w:val="000F2B08"/>
    <w:rsid w:val="00100C29"/>
    <w:rsid w:val="001148C8"/>
    <w:rsid w:val="00133D66"/>
    <w:rsid w:val="001474A6"/>
    <w:rsid w:val="00147FFC"/>
    <w:rsid w:val="00154808"/>
    <w:rsid w:val="00176CCA"/>
    <w:rsid w:val="001A6F09"/>
    <w:rsid w:val="001B5FD5"/>
    <w:rsid w:val="001F1ADA"/>
    <w:rsid w:val="0024080E"/>
    <w:rsid w:val="00260392"/>
    <w:rsid w:val="002626CB"/>
    <w:rsid w:val="00270E24"/>
    <w:rsid w:val="002A0CAF"/>
    <w:rsid w:val="002A1649"/>
    <w:rsid w:val="002D23D9"/>
    <w:rsid w:val="002E7542"/>
    <w:rsid w:val="00302521"/>
    <w:rsid w:val="00324B61"/>
    <w:rsid w:val="00333505"/>
    <w:rsid w:val="00341C70"/>
    <w:rsid w:val="00347AE0"/>
    <w:rsid w:val="00371AAE"/>
    <w:rsid w:val="00376960"/>
    <w:rsid w:val="003B6118"/>
    <w:rsid w:val="003D5122"/>
    <w:rsid w:val="003E6D39"/>
    <w:rsid w:val="00422116"/>
    <w:rsid w:val="00447EF7"/>
    <w:rsid w:val="004775FB"/>
    <w:rsid w:val="004826C6"/>
    <w:rsid w:val="004845A1"/>
    <w:rsid w:val="004A279F"/>
    <w:rsid w:val="004A5D0D"/>
    <w:rsid w:val="004B02F5"/>
    <w:rsid w:val="004B0E72"/>
    <w:rsid w:val="004C11FA"/>
    <w:rsid w:val="004C5C12"/>
    <w:rsid w:val="004C764B"/>
    <w:rsid w:val="004D7BC2"/>
    <w:rsid w:val="004E0554"/>
    <w:rsid w:val="004E334F"/>
    <w:rsid w:val="005211CC"/>
    <w:rsid w:val="00524FF5"/>
    <w:rsid w:val="005329E2"/>
    <w:rsid w:val="00541070"/>
    <w:rsid w:val="00555970"/>
    <w:rsid w:val="00565E37"/>
    <w:rsid w:val="005864A0"/>
    <w:rsid w:val="005A6FBF"/>
    <w:rsid w:val="005B27D0"/>
    <w:rsid w:val="005B3784"/>
    <w:rsid w:val="00607CDD"/>
    <w:rsid w:val="00650C2D"/>
    <w:rsid w:val="006730DF"/>
    <w:rsid w:val="006840AE"/>
    <w:rsid w:val="006963CE"/>
    <w:rsid w:val="006C54B5"/>
    <w:rsid w:val="006D0C55"/>
    <w:rsid w:val="006E1017"/>
    <w:rsid w:val="0070415E"/>
    <w:rsid w:val="00714760"/>
    <w:rsid w:val="00720329"/>
    <w:rsid w:val="00722157"/>
    <w:rsid w:val="00724D23"/>
    <w:rsid w:val="00745955"/>
    <w:rsid w:val="007F7F4E"/>
    <w:rsid w:val="008108CF"/>
    <w:rsid w:val="008237F8"/>
    <w:rsid w:val="0087558F"/>
    <w:rsid w:val="00891EB1"/>
    <w:rsid w:val="008B7ABF"/>
    <w:rsid w:val="008F178F"/>
    <w:rsid w:val="008F4619"/>
    <w:rsid w:val="008F74CA"/>
    <w:rsid w:val="00917301"/>
    <w:rsid w:val="00966515"/>
    <w:rsid w:val="00982551"/>
    <w:rsid w:val="00983B84"/>
    <w:rsid w:val="009B5CF5"/>
    <w:rsid w:val="009D66CD"/>
    <w:rsid w:val="009E6663"/>
    <w:rsid w:val="009F5227"/>
    <w:rsid w:val="00A031D8"/>
    <w:rsid w:val="00A06B51"/>
    <w:rsid w:val="00A160B6"/>
    <w:rsid w:val="00A22F54"/>
    <w:rsid w:val="00A30B36"/>
    <w:rsid w:val="00A42788"/>
    <w:rsid w:val="00A54CFE"/>
    <w:rsid w:val="00A564D2"/>
    <w:rsid w:val="00AF3D35"/>
    <w:rsid w:val="00B4139A"/>
    <w:rsid w:val="00B41D4D"/>
    <w:rsid w:val="00B459CF"/>
    <w:rsid w:val="00B57ED5"/>
    <w:rsid w:val="00B86C1B"/>
    <w:rsid w:val="00BB4AAA"/>
    <w:rsid w:val="00BE749C"/>
    <w:rsid w:val="00C105A9"/>
    <w:rsid w:val="00C17218"/>
    <w:rsid w:val="00C302F6"/>
    <w:rsid w:val="00C54EC0"/>
    <w:rsid w:val="00C56E76"/>
    <w:rsid w:val="00C87060"/>
    <w:rsid w:val="00D00698"/>
    <w:rsid w:val="00D01F39"/>
    <w:rsid w:val="00D03BD5"/>
    <w:rsid w:val="00D076BA"/>
    <w:rsid w:val="00D25C6C"/>
    <w:rsid w:val="00D30B6F"/>
    <w:rsid w:val="00D608EC"/>
    <w:rsid w:val="00D64F44"/>
    <w:rsid w:val="00D7520C"/>
    <w:rsid w:val="00D8345E"/>
    <w:rsid w:val="00D90F7A"/>
    <w:rsid w:val="00DD5F9F"/>
    <w:rsid w:val="00DD7002"/>
    <w:rsid w:val="00E20111"/>
    <w:rsid w:val="00E25120"/>
    <w:rsid w:val="00E56F0F"/>
    <w:rsid w:val="00E61482"/>
    <w:rsid w:val="00E61FA7"/>
    <w:rsid w:val="00E718C3"/>
    <w:rsid w:val="00EA25A0"/>
    <w:rsid w:val="00EC58CD"/>
    <w:rsid w:val="00ED7483"/>
    <w:rsid w:val="00EE6134"/>
    <w:rsid w:val="00F12561"/>
    <w:rsid w:val="00F36188"/>
    <w:rsid w:val="00F84712"/>
    <w:rsid w:val="00F91292"/>
    <w:rsid w:val="00FB05C2"/>
    <w:rsid w:val="00FF30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2096"/>
  <w15:chartTrackingRefBased/>
  <w15:docId w15:val="{F553D0D7-0A51-4862-945E-99C28CCC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7558F"/>
    <w:rPr>
      <w:rFonts w:ascii="細明體" w:eastAsia="細明體" w:hAnsi="Courier New" w:cs="Times New Roman"/>
      <w:szCs w:val="20"/>
    </w:rPr>
  </w:style>
  <w:style w:type="character" w:customStyle="1" w:styleId="a5">
    <w:name w:val="純文字 字元"/>
    <w:basedOn w:val="a0"/>
    <w:link w:val="a4"/>
    <w:rsid w:val="0087558F"/>
    <w:rPr>
      <w:rFonts w:ascii="細明體" w:eastAsia="細明體" w:hAnsi="Courier New" w:cs="Times New Roman"/>
      <w:szCs w:val="20"/>
    </w:rPr>
  </w:style>
  <w:style w:type="paragraph" w:styleId="a6">
    <w:name w:val="Block Text"/>
    <w:basedOn w:val="a"/>
    <w:semiHidden/>
    <w:rsid w:val="00C17218"/>
    <w:pPr>
      <w:spacing w:before="40" w:line="280" w:lineRule="exact"/>
      <w:ind w:left="510" w:right="28" w:hanging="397"/>
    </w:pPr>
    <w:rPr>
      <w:rFonts w:ascii="Times New Roman" w:eastAsia="細明體" w:hAnsi="Times New Roman" w:cs="Times New Roman"/>
      <w:sz w:val="22"/>
      <w:szCs w:val="20"/>
    </w:rPr>
  </w:style>
  <w:style w:type="paragraph" w:styleId="a7">
    <w:name w:val="List Paragraph"/>
    <w:basedOn w:val="a"/>
    <w:uiPriority w:val="34"/>
    <w:qFormat/>
    <w:rsid w:val="00176CCA"/>
    <w:pPr>
      <w:ind w:leftChars="200" w:left="480"/>
    </w:pPr>
  </w:style>
  <w:style w:type="paragraph" w:customStyle="1" w:styleId="1">
    <w:name w:val="樣式1"/>
    <w:basedOn w:val="a4"/>
    <w:rsid w:val="00D30B6F"/>
    <w:pPr>
      <w:spacing w:line="400" w:lineRule="exact"/>
      <w:ind w:left="1928" w:hanging="482"/>
    </w:pPr>
    <w:rPr>
      <w:rFonts w:ascii="Arial" w:hAnsi="Arial"/>
      <w:color w:val="000000"/>
    </w:rPr>
  </w:style>
  <w:style w:type="paragraph" w:customStyle="1" w:styleId="2">
    <w:name w:val="樣式2"/>
    <w:basedOn w:val="1"/>
    <w:rsid w:val="005B3784"/>
    <w:pPr>
      <w:spacing w:line="320" w:lineRule="exact"/>
      <w:ind w:left="1446" w:hanging="1446"/>
    </w:pPr>
  </w:style>
  <w:style w:type="paragraph" w:styleId="20">
    <w:name w:val="Body Text Indent 2"/>
    <w:basedOn w:val="a"/>
    <w:link w:val="21"/>
    <w:semiHidden/>
    <w:rsid w:val="005211CC"/>
    <w:pPr>
      <w:spacing w:line="240" w:lineRule="exact"/>
      <w:ind w:left="1446"/>
    </w:pPr>
    <w:rPr>
      <w:rFonts w:ascii="Times New Roman" w:eastAsia="新細明體" w:hAnsi="Times New Roman" w:cs="Times New Roman"/>
      <w:szCs w:val="20"/>
    </w:rPr>
  </w:style>
  <w:style w:type="character" w:customStyle="1" w:styleId="21">
    <w:name w:val="本文縮排 2 字元"/>
    <w:basedOn w:val="a0"/>
    <w:link w:val="20"/>
    <w:semiHidden/>
    <w:rsid w:val="005211CC"/>
    <w:rPr>
      <w:rFonts w:ascii="Times New Roman" w:eastAsia="新細明體" w:hAnsi="Times New Roman" w:cs="Times New Roman"/>
      <w:szCs w:val="20"/>
    </w:rPr>
  </w:style>
  <w:style w:type="paragraph" w:styleId="3">
    <w:name w:val="Body Text Indent 3"/>
    <w:basedOn w:val="a"/>
    <w:link w:val="30"/>
    <w:uiPriority w:val="99"/>
    <w:semiHidden/>
    <w:unhideWhenUsed/>
    <w:rsid w:val="00324B61"/>
    <w:pPr>
      <w:spacing w:after="120"/>
      <w:ind w:leftChars="200" w:left="480"/>
    </w:pPr>
    <w:rPr>
      <w:sz w:val="16"/>
      <w:szCs w:val="16"/>
    </w:rPr>
  </w:style>
  <w:style w:type="character" w:customStyle="1" w:styleId="30">
    <w:name w:val="本文縮排 3 字元"/>
    <w:basedOn w:val="a0"/>
    <w:link w:val="3"/>
    <w:uiPriority w:val="99"/>
    <w:semiHidden/>
    <w:rsid w:val="00324B61"/>
    <w:rPr>
      <w:sz w:val="16"/>
      <w:szCs w:val="16"/>
    </w:rPr>
  </w:style>
  <w:style w:type="paragraph" w:styleId="a8">
    <w:name w:val="header"/>
    <w:basedOn w:val="a"/>
    <w:link w:val="a9"/>
    <w:uiPriority w:val="99"/>
    <w:unhideWhenUsed/>
    <w:rsid w:val="009F5227"/>
    <w:pPr>
      <w:tabs>
        <w:tab w:val="center" w:pos="4153"/>
        <w:tab w:val="right" w:pos="8306"/>
      </w:tabs>
      <w:snapToGrid w:val="0"/>
    </w:pPr>
    <w:rPr>
      <w:sz w:val="20"/>
      <w:szCs w:val="20"/>
    </w:rPr>
  </w:style>
  <w:style w:type="character" w:customStyle="1" w:styleId="a9">
    <w:name w:val="頁首 字元"/>
    <w:basedOn w:val="a0"/>
    <w:link w:val="a8"/>
    <w:uiPriority w:val="99"/>
    <w:rsid w:val="009F5227"/>
    <w:rPr>
      <w:sz w:val="20"/>
      <w:szCs w:val="20"/>
    </w:rPr>
  </w:style>
  <w:style w:type="paragraph" w:styleId="aa">
    <w:name w:val="footer"/>
    <w:basedOn w:val="a"/>
    <w:link w:val="ab"/>
    <w:uiPriority w:val="99"/>
    <w:unhideWhenUsed/>
    <w:rsid w:val="009F5227"/>
    <w:pPr>
      <w:tabs>
        <w:tab w:val="center" w:pos="4153"/>
        <w:tab w:val="right" w:pos="8306"/>
      </w:tabs>
      <w:snapToGrid w:val="0"/>
    </w:pPr>
    <w:rPr>
      <w:sz w:val="20"/>
      <w:szCs w:val="20"/>
    </w:rPr>
  </w:style>
  <w:style w:type="character" w:customStyle="1" w:styleId="ab">
    <w:name w:val="頁尾 字元"/>
    <w:basedOn w:val="a0"/>
    <w:link w:val="aa"/>
    <w:uiPriority w:val="99"/>
    <w:rsid w:val="009F52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3C36-D6B0-479B-9FA7-4B020591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韻琳 鍾</cp:lastModifiedBy>
  <cp:revision>8</cp:revision>
  <cp:lastPrinted>2023-08-14T00:50:00Z</cp:lastPrinted>
  <dcterms:created xsi:type="dcterms:W3CDTF">2023-08-07T08:06:00Z</dcterms:created>
  <dcterms:modified xsi:type="dcterms:W3CDTF">2023-09-05T07:18:00Z</dcterms:modified>
</cp:coreProperties>
</file>